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97" w:rsidRDefault="00005697" w:rsidP="0000569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СЛУЖБЕНИ ГЛАСНИК</w:t>
      </w:r>
    </w:p>
    <w:p w:rsidR="00005697" w:rsidRDefault="00005697" w:rsidP="00005697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ОПШТИНЕ НОВО ГОРАЖДЕ</w:t>
      </w:r>
    </w:p>
    <w:p w:rsidR="00005697" w:rsidRDefault="00005697" w:rsidP="00005697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005697" w:rsidTr="00005697">
        <w:tc>
          <w:tcPr>
            <w:tcW w:w="4631" w:type="dxa"/>
            <w:hideMark/>
          </w:tcPr>
          <w:p w:rsidR="00005697" w:rsidRPr="00005697" w:rsidRDefault="00005697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CS"/>
              </w:rPr>
              <w:t xml:space="preserve">Година </w:t>
            </w:r>
            <w:r>
              <w:rPr>
                <w:rFonts w:ascii="Times New Roman" w:hAnsi="Times New Roman"/>
                <w:lang w:val="sr-Latn-BA"/>
              </w:rPr>
              <w:t>XVIII</w:t>
            </w:r>
            <w:r>
              <w:rPr>
                <w:rFonts w:ascii="Times New Roman" w:hAnsi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/>
                <w:lang w:val="sr-Latn-BA"/>
              </w:rPr>
              <w:t>14</w:t>
            </w:r>
          </w:p>
        </w:tc>
        <w:tc>
          <w:tcPr>
            <w:tcW w:w="4657" w:type="dxa"/>
            <w:hideMark/>
          </w:tcPr>
          <w:p w:rsidR="00005697" w:rsidRDefault="0000569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BA"/>
              </w:rPr>
              <w:t>Понедељак</w:t>
            </w:r>
            <w:r>
              <w:rPr>
                <w:rFonts w:ascii="Times New Roman" w:hAnsi="Times New Roman"/>
                <w:lang w:val="sr-Cyrl-CS"/>
              </w:rPr>
              <w:t>,</w:t>
            </w:r>
            <w:r>
              <w:rPr>
                <w:rFonts w:ascii="Times New Roman" w:hAnsi="Times New Roman"/>
                <w:lang w:val="sr-Cyrl-BA"/>
              </w:rPr>
              <w:t>20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sr-Cyrl-BA"/>
              </w:rPr>
              <w:t>11</w:t>
            </w:r>
            <w:r>
              <w:rPr>
                <w:rFonts w:ascii="Times New Roman" w:hAnsi="Times New Roman"/>
                <w:lang w:val="sr-Cyrl-CS"/>
              </w:rPr>
              <w:t>.20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sr-Cyrl-BA"/>
              </w:rPr>
              <w:t>3</w:t>
            </w:r>
            <w:r>
              <w:rPr>
                <w:rFonts w:ascii="Times New Roman" w:hAnsi="Times New Roman"/>
                <w:lang w:val="sr-Cyrl-CS"/>
              </w:rPr>
              <w:t>. године</w:t>
            </w:r>
          </w:p>
        </w:tc>
      </w:tr>
    </w:tbl>
    <w:p w:rsidR="00005697" w:rsidRDefault="00005697" w:rsidP="00005697">
      <w:pPr>
        <w:spacing w:after="0" w:line="240" w:lineRule="auto"/>
        <w:rPr>
          <w:rFonts w:ascii="Times New Roman" w:hAnsi="Times New Roman"/>
          <w:lang w:val="sr-Cyrl-CS"/>
        </w:rPr>
      </w:pPr>
    </w:p>
    <w:p w:rsidR="00005697" w:rsidRDefault="00005697" w:rsidP="00005697">
      <w:pPr>
        <w:spacing w:after="0" w:line="240" w:lineRule="auto"/>
        <w:rPr>
          <w:rFonts w:ascii="Times New Roman" w:hAnsi="Times New Roman"/>
          <w:lang w:val="sr-Cyrl-CS"/>
        </w:rPr>
        <w:sectPr w:rsidR="00005697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:rsidR="00005697" w:rsidRDefault="00005697" w:rsidP="00005697">
      <w:pPr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lastRenderedPageBreak/>
        <w:t>Скупштина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lang w:val="en-US"/>
        </w:rPr>
      </w:pPr>
    </w:p>
    <w:p w:rsidR="00005697" w:rsidRDefault="00005697" w:rsidP="00005697">
      <w:pPr>
        <w:spacing w:after="0" w:line="240" w:lineRule="auto"/>
        <w:rPr>
          <w:rFonts w:ascii="Times New Roman" w:hAnsi="Times New Roman"/>
          <w:lang w:val="bs-Cyrl-BA"/>
        </w:rPr>
        <w:sectPr w:rsidR="00005697">
          <w:type w:val="continuous"/>
          <w:pgSz w:w="11906" w:h="16838"/>
          <w:pgMar w:top="1417" w:right="1417" w:bottom="1417" w:left="1134" w:header="708" w:footer="708" w:gutter="0"/>
          <w:cols w:space="720"/>
        </w:sect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lastRenderedPageBreak/>
        <w:t>На основу члана 39. Закона о локалној самоуправи („Службени гласник Републике Српске“, број: 97/16, 36/19 и 61/21), а у вези са чланом 19. Закона о ревизији јавног сектора Републике Српске („Службени гласник Републике Српске“, број: 98/05 и 20/14), Скупштина општине Ново Горажде на дванаестој редовној сједнии одржаној дана 20.11.2023. године  д о н о с и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005697">
        <w:rPr>
          <w:rFonts w:ascii="Times New Roman" w:hAnsi="Times New Roman"/>
          <w:b/>
          <w:sz w:val="24"/>
          <w:szCs w:val="24"/>
          <w:lang w:val="sr-Cyrl-BA"/>
        </w:rPr>
        <w:t>О Д Л У К У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005697">
        <w:rPr>
          <w:rFonts w:ascii="Times New Roman" w:hAnsi="Times New Roman"/>
          <w:b/>
          <w:sz w:val="24"/>
          <w:szCs w:val="24"/>
          <w:lang w:val="sr-Cyrl-BA"/>
        </w:rPr>
        <w:t>О усвајању Акционог плана за отклањање недостатака по ревизији финансијских извјештаја за 2022. Годину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Члан 1.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Овом Одлуком Скупштина општине Ново Горажде усваја Акциони план за отклањање недостатака по ревизији финансијских извјештаја за 2022. Годину.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Члан 2.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Акциони план за отклањање недостатака по ревизији финансијских извјештаја</w:t>
      </w:r>
      <w:r w:rsidRPr="00005697">
        <w:rPr>
          <w:rFonts w:ascii="Times New Roman" w:hAnsi="Times New Roman"/>
          <w:sz w:val="24"/>
          <w:szCs w:val="24"/>
        </w:rPr>
        <w:t xml:space="preserve"> </w:t>
      </w:r>
      <w:r w:rsidRPr="00005697">
        <w:rPr>
          <w:rFonts w:ascii="Times New Roman" w:hAnsi="Times New Roman"/>
          <w:sz w:val="24"/>
          <w:szCs w:val="24"/>
          <w:lang w:val="sr-Cyrl-BA"/>
        </w:rPr>
        <w:t>за 2022. Годину је саставни дио ове Одлуке.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Члан 3.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Задужује се Одсјек надлежан за послове финансија да ову одлуку достави Главној служби за ревизију јавног сектора Републике Српске у року од пет дана од дана њеног доношења.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Члан 4.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005697">
        <w:rPr>
          <w:rFonts w:ascii="Times New Roman" w:hAnsi="Times New Roman"/>
          <w:sz w:val="24"/>
          <w:szCs w:val="24"/>
          <w:lang w:val="sr-Cyrl-BA"/>
        </w:rPr>
        <w:t>Ова одлука ступа на снагу осмог дана од дана њеног објављивања у „Службеном гласнику општине Ново Горажде“.</w:t>
      </w:r>
    </w:p>
    <w:p w:rsidR="00005697" w:rsidRPr="00005697" w:rsidRDefault="00005697" w:rsidP="00005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05697" w:rsidRDefault="00005697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:rsidR="00005697" w:rsidRDefault="00005697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Број: 01/1-052-5-5/23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Ново Горажде, 20.11.2023. године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ПРЕДСЈЕДНИК  СО-е  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Фуад Машић ,    с.р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lang w:val="bs-Cyrl-BA"/>
        </w:rPr>
      </w:pPr>
    </w:p>
    <w:p w:rsid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На основу члана 39. став 2. алинеја 20. Закона о локалној самоуправи (``Службени гласник Републике Српске``, број: 97/16, 36/19 и 61/21) и члана 37. став 1. алинеја 18. Статута општине Ново Горажде (``Службени гласник општине Ново Горажде``, број: 4/15, 4/17), Скупштина општине Ново Горажде на сједници одржаној дана20.11.2023.  године, д о н о с и :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5697" w:rsidRPr="00005697" w:rsidRDefault="00005697" w:rsidP="00005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b/>
          <w:sz w:val="24"/>
          <w:szCs w:val="24"/>
          <w:lang w:val="sr-Cyrl-RS"/>
        </w:rPr>
        <w:t>О Д Л У К У</w:t>
      </w:r>
    </w:p>
    <w:p w:rsidR="00005697" w:rsidRPr="00005697" w:rsidRDefault="00005697" w:rsidP="00005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b/>
          <w:sz w:val="24"/>
          <w:szCs w:val="24"/>
          <w:lang w:val="sr-Cyrl-RS"/>
        </w:rPr>
        <w:t>о проглашењу најбољег ученика на подручју општине Ново Горажде за школску 2022/2023 годину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5697" w:rsidRPr="00005697" w:rsidRDefault="00005697" w:rsidP="00005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b/>
          <w:sz w:val="24"/>
          <w:szCs w:val="24"/>
          <w:lang w:val="sr-Cyrl-RS"/>
        </w:rPr>
        <w:t>Члан 1.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Жељана Пљеваљчић, ученица деветог разреда Основне школе ``Вук Караџић`` Вишеград, Подручна школа Ново Горажде, проглашава се најбољим учеником на подручју општине Ново Горажде за школску 2022/2023. годину.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5697" w:rsidRPr="00005697" w:rsidRDefault="00005697" w:rsidP="00005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b/>
          <w:sz w:val="24"/>
          <w:szCs w:val="24"/>
          <w:lang w:val="sr-Cyrl-RS"/>
        </w:rPr>
        <w:t>Члан 2.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Именованој ће начелник општине додијелити посебну плакету за најбољег ученика на подручју општине Ново Горажде и новчану награду у износу од 300,00 КМ.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5697" w:rsidRPr="00005697" w:rsidRDefault="00005697" w:rsidP="00005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b/>
          <w:sz w:val="24"/>
          <w:szCs w:val="24"/>
          <w:lang w:val="sr-Cyrl-RS"/>
        </w:rPr>
        <w:t>Члан 3.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Ова Одлука ступа на снагу осмог дана од дана њеног објављивања у ``Службеном гласнику општине Ново Горажде``.</w:t>
      </w: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5697" w:rsidRDefault="00005697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01/1-052-5-6/23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Ново Горажде, 20.11.2023. године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ПРЕДСЈЕДНИК  СО-е  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Фуад Машић ,    с.р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lang w:val="bs-Cyrl-BA"/>
        </w:rPr>
      </w:pPr>
    </w:p>
    <w:p w:rsidR="00005697" w:rsidRPr="00005697" w:rsidRDefault="00005697" w:rsidP="0000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proofErr w:type="spellStart"/>
      <w:proofErr w:type="gramStart"/>
      <w:r w:rsidRPr="0000569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-US"/>
        </w:rPr>
        <w:t>основу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-US"/>
        </w:rPr>
        <w:t>члана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-US"/>
        </w:rPr>
        <w:t xml:space="preserve"> 21.</w:t>
      </w:r>
      <w:proofErr w:type="gramEnd"/>
      <w:r w:rsidRPr="0000569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-US"/>
        </w:rPr>
        <w:t>тав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 xml:space="preserve">(2) Закона о комуналним дјелатностима 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>(“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Службени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гласник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Републике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Српске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”,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број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 xml:space="preserve"> 124/11</w:t>
      </w:r>
      <w:r w:rsidRPr="00005697">
        <w:rPr>
          <w:rFonts w:ascii="Times New Roman" w:eastAsia="Times New Roman" w:hAnsi="Times New Roman"/>
          <w:sz w:val="24"/>
          <w:szCs w:val="24"/>
          <w:lang w:val="sr-Latn-RS"/>
        </w:rPr>
        <w:t xml:space="preserve"> и 100/17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),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члана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bs-Latn-BA"/>
        </w:rPr>
        <w:t>39.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>став 2. тачка 5</w:t>
      </w: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 xml:space="preserve">. Закона о локалној самоуправи  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>(„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Службени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гласник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Републике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Српске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“,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број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97/16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>,36/19 и 61/21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) и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члана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3</w:t>
      </w: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став</w:t>
      </w:r>
      <w:proofErr w:type="spellEnd"/>
      <w:proofErr w:type="gram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2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Статута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Општине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>Ново Горажде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(„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Службени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гласник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општине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Ново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Горажде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 xml:space="preserve">“,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број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>4/15 и 4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>/</w:t>
      </w:r>
      <w:r w:rsidRPr="00005697">
        <w:rPr>
          <w:rFonts w:ascii="Times New Roman" w:eastAsia="Times New Roman" w:hAnsi="Times New Roman"/>
          <w:sz w:val="24"/>
          <w:szCs w:val="24"/>
          <w:lang w:val="sr-Cyrl-RS"/>
        </w:rPr>
        <w:t>17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)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Скупштина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општине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>Ново Горажде</w:t>
      </w:r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сједници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одржаној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дана</w:t>
      </w:r>
      <w:proofErr w:type="spellEnd"/>
      <w:r w:rsidRPr="00005697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 xml:space="preserve"> 20.11.2023</w:t>
      </w:r>
      <w:proofErr w:type="gramEnd"/>
      <w:r w:rsidRPr="00005697">
        <w:rPr>
          <w:rFonts w:ascii="Times New Roman" w:eastAsia="Times New Roman" w:hAnsi="Times New Roman"/>
          <w:sz w:val="24"/>
          <w:szCs w:val="24"/>
          <w:lang w:val="sr-Cyrl-BA"/>
        </w:rPr>
        <w:t xml:space="preserve">. </w:t>
      </w:r>
      <w:proofErr w:type="spellStart"/>
      <w:proofErr w:type="gramStart"/>
      <w:r w:rsidRPr="00005697">
        <w:rPr>
          <w:rFonts w:ascii="Times New Roman" w:eastAsia="Times New Roman" w:hAnsi="Times New Roman"/>
          <w:sz w:val="24"/>
          <w:szCs w:val="24"/>
          <w:lang w:val="en"/>
        </w:rPr>
        <w:t>године</w:t>
      </w:r>
      <w:proofErr w:type="spellEnd"/>
      <w:proofErr w:type="gramEnd"/>
      <w:r w:rsidRPr="00005697">
        <w:rPr>
          <w:rFonts w:ascii="Times New Roman" w:eastAsia="Times New Roman" w:hAnsi="Times New Roman"/>
          <w:sz w:val="24"/>
          <w:szCs w:val="24"/>
          <w:lang w:val="en"/>
        </w:rPr>
        <w:t>, д о н о с и</w:t>
      </w:r>
    </w:p>
    <w:p w:rsidR="00005697" w:rsidRPr="00005697" w:rsidRDefault="00005697" w:rsidP="00005697">
      <w:pPr>
        <w:spacing w:after="0" w:line="240" w:lineRule="auto"/>
        <w:ind w:right="-360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005697" w:rsidRPr="00005697" w:rsidRDefault="00005697" w:rsidP="00005697">
      <w:pPr>
        <w:spacing w:after="0" w:line="240" w:lineRule="auto"/>
        <w:ind w:right="-360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ПРОГРАМ</w:t>
      </w: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  <w:t xml:space="preserve"> О ИЗМЈЕНИ ПРОГРАМА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  <w:t xml:space="preserve">ОБАВЉАЊА КОМУНАЛНИХ ДЈЕЛАТНОСТИ ИЗ ОБЛАСТИ </w:t>
      </w: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ЗАЈЕДНИЧКЕ КОМУНАЛНЕ ПОТРОШЊЕ</w:t>
      </w: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  <w:t xml:space="preserve"> </w:t>
      </w:r>
      <w:r w:rsidRPr="00005697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ЗА 2023. ГОДИНУ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left="-540" w:right="-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Члан 1.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У Члану 4. Став 2 Програма обављања комуналних дјелатности из области заједничке комуналне потрошње за 2023. годину („Службени гласник општине Ново Горажде“, број: 20/22) ријеч „два“ мијења се ријечју „пет“.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Члан 2.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У Члану 4. Став 3 Програма обављања комуналних дјелатности из области заједничке комуналне потрошње за 2023. годину („Службени гласник општине Ново Горажде“, број: 20/22) број „4“ мијења се бројем „5“.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Члан 3.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У Члану 7. Став 2 Програма обављања комуналних дјелатности из области заједничке комуналне потрошње за 2023. годину („Службени гласник општине Ново Горажде“, број: 20/22) износ „30 000,00КМ“ мијења се износом „65.000,00 КМ“.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t>Члан 4.</w:t>
      </w:r>
    </w:p>
    <w:p w:rsidR="00005697" w:rsidRPr="00005697" w:rsidRDefault="00005697" w:rsidP="00005697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BA"/>
        </w:rPr>
      </w:pPr>
      <w:r w:rsidRPr="00005697">
        <w:rPr>
          <w:rFonts w:ascii="Times New Roman" w:eastAsia="Times New Roman" w:hAnsi="Times New Roman"/>
          <w:color w:val="000000"/>
          <w:sz w:val="24"/>
          <w:szCs w:val="24"/>
          <w:lang w:val="sr-Cyrl-BA"/>
        </w:rPr>
        <w:lastRenderedPageBreak/>
        <w:t>Овај Програм ступа на снагу осмог дана од дана његовог објављивања у „Службеном гласнику општине Ново Горажде“.</w:t>
      </w:r>
    </w:p>
    <w:p w:rsidR="00005697" w:rsidRPr="006B2D7F" w:rsidRDefault="00005697" w:rsidP="00005697">
      <w:pPr>
        <w:spacing w:after="0" w:line="240" w:lineRule="auto"/>
        <w:rPr>
          <w:rFonts w:ascii="Times New Roman" w:hAnsi="Times New Roman"/>
          <w:b/>
          <w:lang w:val="sr-Cyrl-BA"/>
        </w:rPr>
      </w:pPr>
    </w:p>
    <w:p w:rsidR="00005697" w:rsidRDefault="006B2D7F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01/1-052-5</w:t>
      </w:r>
      <w:r w:rsidR="00005697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4</w:t>
      </w:r>
      <w:r w:rsidR="00005697">
        <w:rPr>
          <w:rFonts w:ascii="Times New Roman" w:hAnsi="Times New Roman"/>
          <w:b/>
          <w:lang w:val="sr-Cyrl-CS"/>
        </w:rPr>
        <w:t>/23</w:t>
      </w:r>
    </w:p>
    <w:p w:rsidR="00005697" w:rsidRDefault="006B2D7F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Ново Горажде, 20</w:t>
      </w:r>
      <w:r w:rsidR="00005697">
        <w:rPr>
          <w:rFonts w:ascii="Times New Roman" w:hAnsi="Times New Roman"/>
          <w:b/>
          <w:lang w:val="sr-Cyrl-CS"/>
        </w:rPr>
        <w:t>.1</w:t>
      </w:r>
      <w:r>
        <w:rPr>
          <w:rFonts w:ascii="Times New Roman" w:hAnsi="Times New Roman"/>
          <w:b/>
          <w:lang w:val="sr-Cyrl-CS"/>
        </w:rPr>
        <w:t>1</w:t>
      </w:r>
      <w:r w:rsidR="00005697">
        <w:rPr>
          <w:rFonts w:ascii="Times New Roman" w:hAnsi="Times New Roman"/>
          <w:b/>
          <w:lang w:val="sr-Cyrl-CS"/>
        </w:rPr>
        <w:t xml:space="preserve">.2023. године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ПРЕДСЈЕДНИК  СО-е  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Фуад Машић ,    с.р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BA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6B2D7F">
        <w:rPr>
          <w:rFonts w:ascii="Times New Roman" w:hAnsi="Times New Roman"/>
          <w:sz w:val="24"/>
          <w:szCs w:val="24"/>
          <w:lang w:val="sr-Cyrl-BA"/>
        </w:rPr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дванаестој редовној  сједници одржаној дана 20.11.2023. године,  д о н о с и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B2D7F">
        <w:rPr>
          <w:rFonts w:ascii="Times New Roman" w:hAnsi="Times New Roman"/>
          <w:b/>
          <w:sz w:val="24"/>
          <w:szCs w:val="24"/>
          <w:lang w:val="sr-Cyrl-BA"/>
        </w:rPr>
        <w:t>З А К Љ У Ч А К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  <w:r w:rsidRPr="006B2D7F">
        <w:rPr>
          <w:rFonts w:ascii="Times New Roman" w:eastAsia="Times New Roman" w:hAnsi="Times New Roman"/>
          <w:sz w:val="24"/>
          <w:szCs w:val="24"/>
          <w:lang w:val="sr-Cyrl-BA"/>
        </w:rPr>
        <w:t>Усваја се Извјештај о извршењу Плана буџета општине Ново Горажде за период 01.01.-30.06.202</w:t>
      </w:r>
      <w:r w:rsidRPr="006B2D7F">
        <w:rPr>
          <w:rFonts w:ascii="Times New Roman" w:eastAsia="Times New Roman" w:hAnsi="Times New Roman"/>
          <w:sz w:val="24"/>
          <w:szCs w:val="24"/>
          <w:lang w:val="sr-Latn-BA"/>
        </w:rPr>
        <w:t>3</w:t>
      </w:r>
      <w:r w:rsidRPr="006B2D7F">
        <w:rPr>
          <w:rFonts w:ascii="Times New Roman" w:eastAsia="Times New Roman" w:hAnsi="Times New Roman"/>
          <w:sz w:val="24"/>
          <w:szCs w:val="24"/>
          <w:lang w:val="sr-Cyrl-BA"/>
        </w:rPr>
        <w:t>. годину.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6B2D7F" w:rsidRPr="006B2D7F" w:rsidRDefault="006B2D7F" w:rsidP="006B2D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6B2D7F">
        <w:rPr>
          <w:rFonts w:ascii="Times New Roman" w:eastAsia="Times New Roman" w:hAnsi="Times New Roman"/>
          <w:sz w:val="24"/>
          <w:szCs w:val="24"/>
          <w:lang w:val="sr-Cyrl-BA"/>
        </w:rPr>
        <w:t>Овај Закључак ступа на снагу даном доношења, а објавиће се у „Службеном гласнику општине Ново Горажде“.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005697" w:rsidRDefault="006B2D7F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Број: 01/1-052-5</w:t>
      </w:r>
      <w:r w:rsidR="00005697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2</w:t>
      </w:r>
      <w:r w:rsidR="00005697">
        <w:rPr>
          <w:rFonts w:ascii="Times New Roman" w:hAnsi="Times New Roman"/>
          <w:b/>
          <w:lang w:val="sr-Cyrl-CS"/>
        </w:rPr>
        <w:t>/23</w:t>
      </w:r>
    </w:p>
    <w:p w:rsidR="00005697" w:rsidRDefault="006B2D7F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Ново Горажде, 20</w:t>
      </w:r>
      <w:r w:rsidR="00005697">
        <w:rPr>
          <w:rFonts w:ascii="Times New Roman" w:hAnsi="Times New Roman"/>
          <w:b/>
          <w:lang w:val="sr-Cyrl-CS"/>
        </w:rPr>
        <w:t>.1</w:t>
      </w:r>
      <w:r>
        <w:rPr>
          <w:rFonts w:ascii="Times New Roman" w:hAnsi="Times New Roman"/>
          <w:b/>
          <w:lang w:val="sr-Cyrl-CS"/>
        </w:rPr>
        <w:t>1</w:t>
      </w:r>
      <w:r w:rsidR="00005697">
        <w:rPr>
          <w:rFonts w:ascii="Times New Roman" w:hAnsi="Times New Roman"/>
          <w:b/>
          <w:lang w:val="sr-Cyrl-CS"/>
        </w:rPr>
        <w:t xml:space="preserve">.2023. године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ПРЕДСЈЕДНИК  СО-е  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Фуад Машић ,    с.р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6B2D7F">
        <w:rPr>
          <w:rFonts w:ascii="Times New Roman" w:hAnsi="Times New Roman"/>
        </w:rPr>
        <w:t xml:space="preserve">На основу члана 31. Закона о буџетском систему Републике Српске („Службени гласник Републике Српске“, број: 121/12, 52/14 и 103/15) и члана 98. и 108. Пословника Скупштине општине Ново Горажде („Службени гласник општине Ново Горажде“, број 6/05, 3/09 и 4/17), Скупштина општине Ново Горажде је на </w:t>
      </w:r>
      <w:r w:rsidRPr="006B2D7F">
        <w:rPr>
          <w:rFonts w:ascii="Times New Roman" w:hAnsi="Times New Roman"/>
          <w:lang w:val="sr-Cyrl-BA"/>
        </w:rPr>
        <w:t xml:space="preserve">дванаестој </w:t>
      </w:r>
      <w:r w:rsidRPr="006B2D7F">
        <w:rPr>
          <w:rFonts w:ascii="Times New Roman" w:hAnsi="Times New Roman"/>
        </w:rPr>
        <w:t xml:space="preserve"> редовној сједници, одржаној дана </w:t>
      </w:r>
      <w:r w:rsidRPr="006B2D7F">
        <w:rPr>
          <w:rFonts w:ascii="Times New Roman" w:hAnsi="Times New Roman"/>
          <w:lang w:val="sr-Cyrl-BA"/>
        </w:rPr>
        <w:t>20.11.2023. године</w:t>
      </w:r>
      <w:r w:rsidRPr="006B2D7F">
        <w:rPr>
          <w:rFonts w:ascii="Times New Roman" w:hAnsi="Times New Roman"/>
        </w:rPr>
        <w:t xml:space="preserve"> донијела 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6B2D7F">
        <w:rPr>
          <w:rFonts w:ascii="Times New Roman" w:hAnsi="Times New Roman"/>
          <w:b/>
        </w:rPr>
        <w:t>З А К Љ У Ч А К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6B2D7F">
        <w:rPr>
          <w:rFonts w:ascii="Times New Roman" w:hAnsi="Times New Roman"/>
          <w:b/>
        </w:rPr>
        <w:t>о усвајању Нацрта</w:t>
      </w:r>
      <w:r w:rsidRPr="006B2D7F">
        <w:rPr>
          <w:rFonts w:ascii="Times New Roman" w:hAnsi="Times New Roman"/>
          <w:b/>
          <w:lang w:val="sr-Cyrl-BA"/>
        </w:rPr>
        <w:t xml:space="preserve"> ребаланса</w:t>
      </w:r>
      <w:r w:rsidRPr="006B2D7F">
        <w:rPr>
          <w:rFonts w:ascii="Times New Roman" w:hAnsi="Times New Roman"/>
          <w:b/>
        </w:rPr>
        <w:t xml:space="preserve"> плана буџета општине Ново Горажде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6B2D7F">
        <w:rPr>
          <w:rFonts w:ascii="Times New Roman" w:hAnsi="Times New Roman"/>
          <w:b/>
        </w:rPr>
        <w:t>за 202</w:t>
      </w:r>
      <w:r w:rsidRPr="006B2D7F">
        <w:rPr>
          <w:rFonts w:ascii="Times New Roman" w:hAnsi="Times New Roman"/>
          <w:b/>
          <w:lang w:val="sr-Cyrl-BA"/>
        </w:rPr>
        <w:t>3</w:t>
      </w:r>
      <w:r w:rsidRPr="006B2D7F">
        <w:rPr>
          <w:rFonts w:ascii="Times New Roman" w:hAnsi="Times New Roman"/>
          <w:b/>
        </w:rPr>
        <w:t>. годину</w:t>
      </w:r>
    </w:p>
    <w:p w:rsidR="006B2D7F" w:rsidRPr="006B2D7F" w:rsidRDefault="006B2D7F" w:rsidP="006B2D7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lastRenderedPageBreak/>
        <w:t>Усваја се Нацрт</w:t>
      </w:r>
      <w:r w:rsidRPr="006B2D7F">
        <w:rPr>
          <w:rFonts w:ascii="Times New Roman" w:eastAsia="Times New Roman" w:hAnsi="Times New Roman"/>
          <w:lang w:val="sr-Cyrl-BA"/>
        </w:rPr>
        <w:t xml:space="preserve"> ребаланса</w:t>
      </w:r>
      <w:r w:rsidRPr="006B2D7F">
        <w:rPr>
          <w:rFonts w:ascii="Times New Roman" w:eastAsia="Times New Roman" w:hAnsi="Times New Roman"/>
        </w:rPr>
        <w:t xml:space="preserve"> плана буџета општине Ново Горажде за 202</w:t>
      </w:r>
      <w:r w:rsidRPr="006B2D7F">
        <w:rPr>
          <w:rFonts w:ascii="Times New Roman" w:eastAsia="Times New Roman" w:hAnsi="Times New Roman"/>
          <w:lang w:val="sr-Cyrl-BA"/>
        </w:rPr>
        <w:t>3</w:t>
      </w:r>
      <w:r w:rsidRPr="006B2D7F">
        <w:rPr>
          <w:rFonts w:ascii="Times New Roman" w:eastAsia="Times New Roman" w:hAnsi="Times New Roman"/>
        </w:rPr>
        <w:t xml:space="preserve">. годину (у даљем тексту: Нацрт </w:t>
      </w:r>
      <w:r w:rsidRPr="006B2D7F">
        <w:rPr>
          <w:rFonts w:ascii="Times New Roman" w:eastAsia="Times New Roman" w:hAnsi="Times New Roman"/>
          <w:lang w:val="sr-Cyrl-BA"/>
        </w:rPr>
        <w:t xml:space="preserve">ребаланса </w:t>
      </w:r>
      <w:r w:rsidRPr="006B2D7F">
        <w:rPr>
          <w:rFonts w:ascii="Times New Roman" w:eastAsia="Times New Roman" w:hAnsi="Times New Roman"/>
        </w:rPr>
        <w:t>плана буџета).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Скупштина општине Ново Горажде, сагласно одредбама члана 108. Пословника Скупштине општине Ново Горажде, одлучује да се Нацрт</w:t>
      </w:r>
      <w:r w:rsidRPr="006B2D7F">
        <w:rPr>
          <w:rFonts w:ascii="Times New Roman" w:eastAsia="Times New Roman" w:hAnsi="Times New Roman"/>
          <w:lang w:val="sr-Cyrl-BA"/>
        </w:rPr>
        <w:t xml:space="preserve"> ребаланса</w:t>
      </w:r>
      <w:r w:rsidRPr="006B2D7F">
        <w:rPr>
          <w:rFonts w:ascii="Times New Roman" w:eastAsia="Times New Roman" w:hAnsi="Times New Roman"/>
        </w:rPr>
        <w:t xml:space="preserve"> плана буџета упути на јавну расправу, јер се истим уређују питања од ширег интереса за грађане и друге субјекте у општини.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За организовање и спровођење јавне расправе задужују се Начелник општине и Одсјек за финансије, управљање развојем, привреду и друштвене дјелатности.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Начелник и Одсјек су нарочито дужни да: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воде бригу да се Нацрт</w:t>
      </w:r>
      <w:r w:rsidRPr="006B2D7F">
        <w:rPr>
          <w:rFonts w:ascii="Times New Roman" w:eastAsia="Times New Roman" w:hAnsi="Times New Roman"/>
          <w:lang w:val="sr-Cyrl-BA"/>
        </w:rPr>
        <w:t xml:space="preserve"> ребаланса</w:t>
      </w:r>
      <w:r w:rsidRPr="006B2D7F">
        <w:rPr>
          <w:rFonts w:ascii="Times New Roman" w:eastAsia="Times New Roman" w:hAnsi="Times New Roman"/>
        </w:rPr>
        <w:t xml:space="preserve"> плана буџета учини доступним јавности;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организују и воде расправу уз обезбјеђење услова за учешће свих заинтересованих грађана општине и других институција;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у смислу информисаности грађана, користе званичну интернет страницу општине;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осигурају прикупљање и спровођење примједби, мишљења и приједлога изнесених у току јавне расправе;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прате јавну расправу и анализирају приједлоге, мишљења и примједбе изнијете у току јавне расправе;</w:t>
      </w:r>
    </w:p>
    <w:p w:rsidR="006B2D7F" w:rsidRPr="006B2D7F" w:rsidRDefault="006B2D7F" w:rsidP="006B2D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припреме извјештај о резултатима јавне расправе и поднесу га овој Скупштини.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Јавна расправа ће</w:t>
      </w:r>
      <w:r w:rsidRPr="006B2D7F">
        <w:rPr>
          <w:rFonts w:ascii="Times New Roman" w:eastAsia="Times New Roman" w:hAnsi="Times New Roman"/>
          <w:lang w:val="sr-Cyrl-BA"/>
        </w:rPr>
        <w:t xml:space="preserve"> се одржати у року од 10 дана од дана усвајања овог Закључка</w:t>
      </w:r>
      <w:r w:rsidRPr="006B2D7F">
        <w:rPr>
          <w:rFonts w:ascii="Times New Roman" w:eastAsia="Times New Roman" w:hAnsi="Times New Roman"/>
        </w:rPr>
        <w:t>.</w:t>
      </w:r>
      <w:r w:rsidRPr="006B2D7F">
        <w:rPr>
          <w:rFonts w:ascii="Times New Roman" w:eastAsia="Times New Roman" w:hAnsi="Times New Roman"/>
          <w:lang w:val="sr-Cyrl-BA"/>
        </w:rPr>
        <w:t xml:space="preserve">    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>Задужује се Одсјек за финансије, управљање развојем, привреду и друштвене дјелатности да, сагласно одредбама члана 31. Закона о буџетском систему Републике Српске, овај Закључак, заједно са Нацртом</w:t>
      </w:r>
      <w:r w:rsidRPr="006B2D7F">
        <w:rPr>
          <w:rFonts w:ascii="Times New Roman" w:eastAsia="Times New Roman" w:hAnsi="Times New Roman"/>
          <w:lang w:val="sr-Cyrl-BA"/>
        </w:rPr>
        <w:t xml:space="preserve"> ребаланса</w:t>
      </w:r>
      <w:r w:rsidRPr="006B2D7F">
        <w:rPr>
          <w:rFonts w:ascii="Times New Roman" w:eastAsia="Times New Roman" w:hAnsi="Times New Roman"/>
        </w:rPr>
        <w:t xml:space="preserve"> плана буџета достави Министарству финансија Републике Српске. </w:t>
      </w:r>
    </w:p>
    <w:p w:rsidR="006B2D7F" w:rsidRPr="006B2D7F" w:rsidRDefault="006B2D7F" w:rsidP="006B2D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B2D7F">
        <w:rPr>
          <w:rFonts w:ascii="Times New Roman" w:eastAsia="Times New Roman" w:hAnsi="Times New Roman"/>
        </w:rPr>
        <w:t xml:space="preserve">Овај Закључак ступа на снагу наредног дана од дана његовог објављивања у „Службеном гласнику општине Ново Горажде“. </w:t>
      </w:r>
    </w:p>
    <w:p w:rsidR="00005697" w:rsidRDefault="00005697" w:rsidP="000056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05697" w:rsidRDefault="006B2D7F" w:rsidP="00005697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Број: 01/1-052-5-3</w:t>
      </w:r>
      <w:r w:rsidR="00005697">
        <w:rPr>
          <w:rFonts w:ascii="Times New Roman" w:hAnsi="Times New Roman"/>
          <w:b/>
          <w:lang w:val="sr-Cyrl-CS"/>
        </w:rPr>
        <w:t>/23</w:t>
      </w:r>
    </w:p>
    <w:p w:rsidR="00005697" w:rsidRDefault="006B2D7F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Ново Горажде, 20</w:t>
      </w:r>
      <w:r w:rsidR="00005697">
        <w:rPr>
          <w:rFonts w:ascii="Times New Roman" w:hAnsi="Times New Roman"/>
          <w:b/>
          <w:lang w:val="sr-Cyrl-CS"/>
        </w:rPr>
        <w:t>.1</w:t>
      </w:r>
      <w:r>
        <w:rPr>
          <w:rFonts w:ascii="Times New Roman" w:hAnsi="Times New Roman"/>
          <w:b/>
          <w:lang w:val="sr-Cyrl-CS"/>
        </w:rPr>
        <w:t>1</w:t>
      </w:r>
      <w:r w:rsidR="00005697">
        <w:rPr>
          <w:rFonts w:ascii="Times New Roman" w:hAnsi="Times New Roman"/>
          <w:b/>
          <w:lang w:val="sr-Cyrl-CS"/>
        </w:rPr>
        <w:t xml:space="preserve">.2023. године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ПРЕДСЈЕДНИК  СО-е   </w:t>
      </w: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 xml:space="preserve">             Фуад Машић ,    с.р</w:t>
      </w:r>
    </w:p>
    <w:p w:rsidR="00005697" w:rsidRDefault="00005697" w:rsidP="00005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005697" w:rsidRDefault="00005697" w:rsidP="00005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005697" w:rsidRDefault="00005697" w:rsidP="00005697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005697" w:rsidRDefault="00005697" w:rsidP="00005697">
      <w:pPr>
        <w:spacing w:after="0" w:line="240" w:lineRule="auto"/>
        <w:rPr>
          <w:rFonts w:ascii="Times New Roman" w:hAnsi="Times New Roman"/>
          <w:b/>
          <w:lang w:val="sr-Cyrl-BA"/>
        </w:rPr>
        <w:sectPr w:rsidR="00005697" w:rsidSect="006B2D7F">
          <w:type w:val="continuous"/>
          <w:pgSz w:w="11906" w:h="16838"/>
          <w:pgMar w:top="1417" w:right="1417" w:bottom="1417" w:left="1134" w:header="708" w:footer="708" w:gutter="0"/>
          <w:cols w:num="2" w:space="708"/>
          <w:titlePg/>
          <w:docGrid w:linePitch="299"/>
        </w:sectPr>
      </w:pPr>
    </w:p>
    <w:p w:rsidR="0020628B" w:rsidRPr="0020628B" w:rsidRDefault="0020628B" w:rsidP="0020628B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20628B">
        <w:rPr>
          <w:rFonts w:ascii="Times New Roman" w:hAnsi="Times New Roman"/>
          <w:b/>
          <w:sz w:val="32"/>
          <w:szCs w:val="32"/>
          <w:lang w:val="sr-Cyrl-BA"/>
        </w:rPr>
        <w:lastRenderedPageBreak/>
        <w:t>А К Ц И О Н И   П Л А Н</w:t>
      </w:r>
    </w:p>
    <w:p w:rsidR="0020628B" w:rsidRPr="0020628B" w:rsidRDefault="0020628B" w:rsidP="0020628B">
      <w:pPr>
        <w:spacing w:after="0"/>
        <w:jc w:val="center"/>
        <w:rPr>
          <w:rFonts w:ascii="Times New Roman" w:hAnsi="Times New Roman"/>
          <w:b/>
          <w:lang w:val="sr-Cyrl-BA"/>
        </w:rPr>
      </w:pPr>
      <w:r w:rsidRPr="0020628B">
        <w:rPr>
          <w:rFonts w:ascii="Times New Roman" w:hAnsi="Times New Roman"/>
          <w:b/>
          <w:lang w:val="sr-Cyrl-BA"/>
        </w:rPr>
        <w:t>ЗА ОТКЛАЊАЊЕ НЕДОСТАТАКА ПО РЕВИЗИЈИ ФИНАНСИЈСКИХ ИЗВЈЕШТАЈА ЗА 2022. ГОДИНУ</w:t>
      </w:r>
    </w:p>
    <w:p w:rsidR="0020628B" w:rsidRPr="0020628B" w:rsidRDefault="0020628B" w:rsidP="0020628B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20628B" w:rsidRPr="0020628B" w:rsidRDefault="0020628B" w:rsidP="0020628B">
      <w:pPr>
        <w:spacing w:after="0"/>
        <w:jc w:val="both"/>
        <w:rPr>
          <w:rFonts w:ascii="Times New Roman" w:hAnsi="Times New Roman"/>
          <w:b/>
          <w:lang w:val="sr-Cyrl-BA"/>
        </w:rPr>
      </w:pPr>
    </w:p>
    <w:p w:rsidR="0020628B" w:rsidRPr="0020628B" w:rsidRDefault="0020628B" w:rsidP="0020628B">
      <w:pPr>
        <w:spacing w:after="0"/>
        <w:jc w:val="both"/>
        <w:rPr>
          <w:rFonts w:ascii="Times New Roman" w:hAnsi="Times New Roman"/>
          <w:lang w:val="sr-Cyrl-BA"/>
        </w:rPr>
      </w:pPr>
      <w:r w:rsidRPr="0020628B">
        <w:rPr>
          <w:rFonts w:ascii="Times New Roman" w:hAnsi="Times New Roman"/>
          <w:lang w:val="sr-Cyrl-BA"/>
        </w:rPr>
        <w:t>Акциони план за отклањање недостатака по ревизорском извјештају сачињен је с циљем да се у разумно остваривом времену предузму све неопходне радње и мјере на отклањању неправилности уочених током ревизије финансијских извјештаја Општине Ново Горажде за 20</w:t>
      </w:r>
      <w:r w:rsidRPr="0020628B">
        <w:rPr>
          <w:rFonts w:ascii="Times New Roman" w:hAnsi="Times New Roman"/>
          <w:lang w:val="en-US"/>
        </w:rPr>
        <w:t>22</w:t>
      </w:r>
      <w:r w:rsidRPr="0020628B">
        <w:rPr>
          <w:rFonts w:ascii="Times New Roman" w:hAnsi="Times New Roman"/>
          <w:lang w:val="sr-Cyrl-BA"/>
        </w:rPr>
        <w:t>. годину.</w:t>
      </w:r>
    </w:p>
    <w:p w:rsidR="0020628B" w:rsidRPr="0020628B" w:rsidRDefault="0020628B" w:rsidP="0020628B">
      <w:pPr>
        <w:spacing w:after="0"/>
        <w:jc w:val="both"/>
        <w:rPr>
          <w:rFonts w:ascii="Times New Roman" w:hAnsi="Times New Roman"/>
          <w:lang w:val="sr-Cyrl-BA"/>
        </w:rPr>
      </w:pPr>
    </w:p>
    <w:p w:rsidR="0020628B" w:rsidRPr="0020628B" w:rsidRDefault="0020628B" w:rsidP="0020628B">
      <w:pPr>
        <w:spacing w:after="0"/>
        <w:jc w:val="both"/>
        <w:rPr>
          <w:rFonts w:ascii="Times New Roman" w:hAnsi="Times New Roman"/>
          <w:lang w:val="sr-Cyrl-BA"/>
        </w:rPr>
      </w:pPr>
      <w:r w:rsidRPr="0020628B">
        <w:rPr>
          <w:rFonts w:ascii="Times New Roman" w:hAnsi="Times New Roman"/>
          <w:lang w:val="sr-Cyrl-BA"/>
        </w:rPr>
        <w:t>У даљем тексту дат је преглед констатованих неправилности по налазу ревизије, датих препорука, као и планираних активности општине на отклањању истих, уз јасно дефинисање носилаца активности и рокова који су потребни да се наведене неправилности исправе.</w:t>
      </w:r>
    </w:p>
    <w:p w:rsidR="0020628B" w:rsidRPr="0020628B" w:rsidRDefault="0020628B" w:rsidP="0020628B">
      <w:pPr>
        <w:spacing w:after="0"/>
        <w:jc w:val="both"/>
        <w:rPr>
          <w:rFonts w:ascii="Times New Roman" w:hAnsi="Times New Roman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3249"/>
        <w:gridCol w:w="2293"/>
        <w:gridCol w:w="2126"/>
      </w:tblGrid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t>Констатације и препоруке ревизора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t>Планиране активности на отклањању неправилности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t>Носиоци/извршиоци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t>Рокови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t>А/ Закључак о функционисању система интерних контрола (тачка 3. ревизорског извјештаја)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1. Скупштина општине је за предсједника и потпредсједника Скупштине Општине, изабране из реда одборника и који нису у статусу запослених лица, донијела Одлуку о утврђивању права на новчану накнаду у висини једне и по просјечне плате исплаћене у Општинској управи у претходној години, што није у складу са чланом 41.став 3) Закона о локалној самоуправи.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 xml:space="preserve">Наведена одлука о накнади функционерима који нису у </w:t>
            </w:r>
            <w:r w:rsidRPr="0020628B">
              <w:rPr>
                <w:rFonts w:ascii="Times New Roman" w:hAnsi="Times New Roman"/>
                <w:lang w:val="sr-Cyrl-BA"/>
              </w:rPr>
              <w:lastRenderedPageBreak/>
              <w:t>радном односу није у складу са чланом 9.став (1) и (2) Закона о статусу функционера јединица локалне самоуправе („Службени гласник Републике Српске“, број 96/05 и 98/13)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Скупштини општине да обетбиједи да се накнаде функционерима Општине који нису у радном односу утврђују у складу са чланом 41.став 3) Закона о локалној самоуправи и чланом 9.став (1) и (2) Закона о статусу функционера јединица локалне самоуправе.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Руководство општине има опредјељење да поступи у складу са надлежним препорукама и наведена акта донесе у што краћем могућем року.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Скупштина општине, Начелник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28.02.2024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 w:rsidRPr="0020628B">
              <w:rPr>
                <w:rFonts w:ascii="Times New Roman" w:hAnsi="Times New Roman"/>
                <w:b/>
                <w:lang w:val="sr-Cyrl-BA"/>
              </w:rPr>
              <w:lastRenderedPageBreak/>
              <w:t>Б/ Финансијски извјештаји (тачка 6. ревизорског извјештаја)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 xml:space="preserve">2. При сачињавању Консолидованог финансијског извјештаја за 2022. годину није извршена елиминација позиција краткорочне финансијске имовине и разграничења и краткорочних обавеза и разграничења из трансакција унутар исте јединице власти у складу са чланом 122. Правилника о </w:t>
            </w:r>
            <w:r w:rsidRPr="0020628B">
              <w:rPr>
                <w:rFonts w:ascii="Times New Roman" w:hAnsi="Times New Roman"/>
                <w:lang w:val="sr-Cyrl-BA"/>
              </w:rPr>
              <w:lastRenderedPageBreak/>
              <w:t>рачуноводству, рачуноводственим политикама и рачуноводственим процјенама за буџетске кориснике(„Службени гласник Републике Српске“, број 115/17 и 118/18). Такође, није извршена консолидација контролисаних ентитета укључивањем нето имовине/капитала ЈКП Ново Горажде и ЈЗУ Дом здравља Ново Горажде, како је дефинисано чланом 123. наведеног правилника.</w:t>
            </w:r>
          </w:p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 xml:space="preserve">Препоручује се Начелнику општине да обезбиједи да се приликом израде Консолидованог финансијског извјештаја општине, трансакције које су идентификоване као предмет елиминације, елиминишу у цјелости из консолидованог извјештаја, као и да се врши консолидација ентитета јавног сектора који нису буџетски кориснициу складу са чланом 122. и 123. Правилника о рачуноводству, </w:t>
            </w:r>
            <w:r w:rsidRPr="0020628B">
              <w:rPr>
                <w:rFonts w:ascii="Times New Roman" w:hAnsi="Times New Roman"/>
                <w:i/>
                <w:lang w:val="sr-Cyrl-BA"/>
              </w:rPr>
              <w:lastRenderedPageBreak/>
              <w:t>рачуноводственим политикама и рачуноводственим процјенама за буџетске 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Поступити у складу са неведеном препоруком ревизије.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jc w:val="both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 xml:space="preserve">3. Евидентирање расхода за субвенције за превоз ученика, издатака за инвестиционо одржавање ,реконструкцију и адаптацију зграда и објеката и археолошких и геодетских услуга и радова није извршено  у складу са чланом 92. став (3) и (6) и члана 95. став (3) Правилника о буџетским класификацијама, садржини рачуна и примјени контног плана за буџетске кориснике („Службени гласник Републике Српске“, број 98/16, 115/17 и 118/18). 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 xml:space="preserve">Препоручује се  Начелнику оптштине да обезбиједи да да се расходи по основу коришћења роба и услуга класификују у складу са чланом 92. став (3) и (6) и чланом 95. став (3) Правилника о буџетским класификацијама, садржини рачуна и примјени контног плана за буџетске </w:t>
            </w:r>
            <w:r w:rsidRPr="0020628B">
              <w:rPr>
                <w:rFonts w:ascii="Times New Roman" w:hAnsi="Times New Roman"/>
                <w:i/>
                <w:lang w:val="sr-Cyrl-BA"/>
              </w:rPr>
              <w:lastRenderedPageBreak/>
              <w:t>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Приликом евидентирања расхода и издатака поштовати утврђени законски оквир.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 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4. Евидентирање насталих и наплаћених пореских и непореских потраживања у ранијем периоду, као и корекција доспјелих ненаплаћених потраживања нису извршена у складу са Упутством о примјени МРС-ЈС 23 – Приходи од трансакција које нису трансакције размјене(порези и преноси - „ Службени гласник Републике Српске“, број 116/13).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 Начелнику оптштине да обезбиједи да се обрачунски приходи и потраживања за ненаплаћене порезе, доприносе и непореске приходе евидентирају у складу са Упутством о примјени МРС- ЈС 23-Приходи од трансакција које нису трансакције размјене(порези и преноси).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Извршити евидентирање и корекцију у складу са Упутством о примјени МРС-ЈС 23.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финансије,управљање развојем, привреду и друштвене дјелатности.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 xml:space="preserve">5. Приликом сачињавања Консолидованог биланса стања потцијењена су остала краткорочна разграничења и финансијски резултат ранијих година што није у складу са чланом 69. став (4) </w:t>
            </w:r>
            <w:r w:rsidRPr="0020628B">
              <w:rPr>
                <w:rFonts w:ascii="Times New Roman" w:hAnsi="Times New Roman"/>
                <w:lang w:val="sr-Cyrl-BA"/>
              </w:rPr>
              <w:lastRenderedPageBreak/>
              <w:t>Правилника о буџетским класификацијама, садржини рачуна и примјени контног плана за буџетске кориснике.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 Начелнику оптштине да обезбиједи да се класификација осталих краткорочних разграничења врши у складу са чланом 69. став (4) Правилника о буџетским класификацијама, садржини рачуна и примјени контног плана за буџетске 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Поштовати утврђени законски оквир.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развојем, привреду и друштвене дјелатности.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6. Општина није извршила евиденцију у оквиру дугорочних пласмана по основу улога Општине у контролисаним ентитетима чији је оснивач и то за ЈУ Центар за социјални рад, ЈУ Народна библиотека, као и у Сарајевској развојној агенцији (Серда доо), док у Општинској туристичкој организацији исказани улог није усклађен са уговореним ( уписаним) улогом.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 xml:space="preserve">Наведено није у складу са чланом 61. став (1) и (4) Правилника о буџетским класификацијама, садржини </w:t>
            </w:r>
            <w:r w:rsidRPr="0020628B">
              <w:rPr>
                <w:rFonts w:ascii="Times New Roman" w:hAnsi="Times New Roman"/>
                <w:lang w:val="sr-Cyrl-BA"/>
              </w:rPr>
              <w:lastRenderedPageBreak/>
              <w:t xml:space="preserve">рачуна и примјени контног плана за буџетске кориснике. 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Начелнику да обезбиједи да се дугорочни пласмани по основу улога Општине у јавним установама чији је оснивач, признају у складу са чланом 61. став (1) и (4) Правилника о буџетским класификацијама, садржини рачуна и примјени контног плана за буџетске кориснике и да се уговорени(уписани) улози међусобно ускладе.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У складу са важећим правилником извршити евиденцију у оквиру дугорочних пласмана.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финансије,управљање развојем,  привреду и друштвене дјелатности.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28.02.2024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7. Краткорочне финансијске обавезе су потцијењене, а дугорочне обавезе по зајмовима прецијењене у износу 190.666 КМ јер дио дугорочних обавеза по зајмовима примљеним од банака са стањем на дан 31.12.2022. није пренесен на обавезе по зајмовима који доспијевају на наплату до годину дана.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 xml:space="preserve">Препоручује се Начелнику да обезбиједи да се дугорочне обавезе по зајмовима рекласификују на обавезе по зајмовима који доспијевају </w:t>
            </w:r>
            <w:r w:rsidRPr="0020628B">
              <w:rPr>
                <w:rFonts w:ascii="Times New Roman" w:hAnsi="Times New Roman"/>
                <w:i/>
                <w:lang w:val="sr-Cyrl-BA"/>
              </w:rPr>
              <w:lastRenderedPageBreak/>
              <w:t>на наплату до годину дана у складу са чланом 73. и 77. Правилника о буџетским класификацијама, садржини рачуна и примјени контног плана за буџетске 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На крају пословне године извршити пренос са дугорочних обавеза по зајмовима на  обавезе по зајмовима који доспијевају на наплату до годину дана.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Одсјек за финансије, управљање развојем,привреду и друштвене дјелатности.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8. Резерве су потцијењене, а обрачунски приходи прецијењени по основу укњижавања вриједности стана у власништву Општине, раније грешком искњиженог.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 xml:space="preserve"> 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Начелнику да обезбиједи да се признавање резерви врши у складу са чланом 87. став (1) Правилника о буџетским класификацијама, садржини рачуна и примјени контног плана за буџетске 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Поступити по препорукама.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 xml:space="preserve">9. У ванбилансној евиденцији нису исказани дати инструменти обезбјеђења плаћања по основу кредита закључених у току 2017. године са Новом банком а.д Бања Лука и НЛБ Банком а.д. Бања Лука у износу од 2.314.102 КМ због чега су ванбилансна актива и </w:t>
            </w:r>
            <w:r w:rsidRPr="0020628B">
              <w:rPr>
                <w:rFonts w:ascii="Times New Roman" w:hAnsi="Times New Roman"/>
                <w:lang w:val="sr-Cyrl-BA"/>
              </w:rPr>
              <w:lastRenderedPageBreak/>
              <w:t>ванбилансна пасива мање исказане.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 xml:space="preserve"> 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Начелнику да обезбиједи да се на позицијама ванбилансне активе и ванбилансне пасиве врши евидентирање датих средставаобезбјеђења по дугорочним кредитима у складу са чланом 92. Правилника о рачуноводству, рачуноводственим политикама и рачуноводственим процјенама за буџетске кориснике.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Поступити у складу са наводима ревизорског извјештаја, у складу са наведеним правилником.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Одсјек за финансије, управљање развојем,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28.02.2024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10.Биланс новчаних токова није састављен у складу са захтјевима МРС-ЈС 2 – Извјештај о новчаним токовима, параграф 22. и 25. јер су одливи из пословних активности исказани више, а одливи из инвестиционих активности мање у износу од 21.736 КМ.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 xml:space="preserve"> Препорука: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i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 xml:space="preserve">Препоручује се Начелнику да обезбиједи да се Биланс новчаних токова саставља у складу са захтјевима МРС-ЈС 2 – Извјештај о </w:t>
            </w:r>
            <w:r w:rsidRPr="0020628B">
              <w:rPr>
                <w:rFonts w:ascii="Times New Roman" w:hAnsi="Times New Roman"/>
                <w:i/>
                <w:lang w:val="sr-Cyrl-BA"/>
              </w:rPr>
              <w:lastRenderedPageBreak/>
              <w:t xml:space="preserve">новчаним токовима (параграфи 22. и 25.) 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Осигурати примјену МРС-ЈС 2 Извјештај о новчаним токовима приликом сачињавања Биланса новчаних токова.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  <w:tr w:rsidR="0020628B" w:rsidRPr="0020628B" w:rsidTr="00FB7925">
        <w:tc>
          <w:tcPr>
            <w:tcW w:w="294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lastRenderedPageBreak/>
              <w:t>1</w:t>
            </w:r>
            <w:r w:rsidRPr="0020628B">
              <w:rPr>
                <w:rFonts w:ascii="Times New Roman" w:hAnsi="Times New Roman"/>
                <w:lang w:val="en-US"/>
              </w:rPr>
              <w:t>1</w:t>
            </w:r>
            <w:r w:rsidRPr="0020628B">
              <w:rPr>
                <w:rFonts w:ascii="Times New Roman" w:hAnsi="Times New Roman"/>
                <w:lang w:val="sr-Cyrl-BA"/>
              </w:rPr>
              <w:t>. Напомене уз финансијске извјештаје не задовољавају захтјеве МРС-ЈС 1- Презентација финансијских извјештаја и одредбе члана 46. Правилника о финансијском извјештавању буџетских корисника.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b/>
                <w:i/>
                <w:lang w:val="sr-Cyrl-BA"/>
              </w:rPr>
            </w:pPr>
            <w:r w:rsidRPr="0020628B">
              <w:rPr>
                <w:rFonts w:ascii="Times New Roman" w:hAnsi="Times New Roman"/>
                <w:b/>
                <w:i/>
                <w:lang w:val="sr-Cyrl-BA"/>
              </w:rPr>
              <w:t>Препоруке:</w:t>
            </w:r>
          </w:p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i/>
                <w:lang w:val="sr-Cyrl-BA"/>
              </w:rPr>
              <w:t>Препоручује се Начелнику да се у Напоменама уз финансијске извјештаје објелодањују додатне информације у складу са чланом 46.Правилника о финансијском извјештавању буџетских корисника и захтјевима МРС-ЈС 1 – Презентација финансијских извјештаја, МРС-ЈС 17 – Некретнине, постројења и опрема и МРС-ЈС 19 – Резервисања, потенцијалне обавезе и потенцијална имовина.</w:t>
            </w:r>
          </w:p>
        </w:tc>
        <w:tc>
          <w:tcPr>
            <w:tcW w:w="3249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Поштовати стандарде и законом прописан оквир приликом сачињавања Напомена уз финансијске извјештаје.</w:t>
            </w:r>
          </w:p>
        </w:tc>
        <w:tc>
          <w:tcPr>
            <w:tcW w:w="2293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Начелник, Одсјек за финансије, управљање развојем, привреду и друштвене дјелатности</w:t>
            </w:r>
          </w:p>
        </w:tc>
        <w:tc>
          <w:tcPr>
            <w:tcW w:w="2126" w:type="dxa"/>
          </w:tcPr>
          <w:p w:rsidR="0020628B" w:rsidRPr="0020628B" w:rsidRDefault="0020628B" w:rsidP="0020628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20628B">
              <w:rPr>
                <w:rFonts w:ascii="Times New Roman" w:hAnsi="Times New Roman"/>
                <w:lang w:val="sr-Cyrl-BA"/>
              </w:rPr>
              <w:t>Континуирано</w:t>
            </w:r>
          </w:p>
        </w:tc>
      </w:tr>
    </w:tbl>
    <w:p w:rsidR="0020628B" w:rsidRPr="0020628B" w:rsidRDefault="0020628B" w:rsidP="0020628B">
      <w:pPr>
        <w:spacing w:after="0"/>
        <w:jc w:val="both"/>
        <w:rPr>
          <w:rFonts w:ascii="Times New Roman" w:hAnsi="Times New Roman"/>
          <w:lang w:val="sr-Cyrl-BA"/>
        </w:rPr>
      </w:pPr>
    </w:p>
    <w:p w:rsidR="00005697" w:rsidRDefault="00005697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</w:p>
    <w:p w:rsidR="0020628B" w:rsidRPr="0020628B" w:rsidRDefault="0020628B" w:rsidP="00005697">
      <w:pPr>
        <w:spacing w:after="0" w:line="240" w:lineRule="auto"/>
        <w:jc w:val="both"/>
        <w:rPr>
          <w:rFonts w:ascii="Times New Roman" w:hAnsi="Times New Roman"/>
          <w:lang w:val="sr-Latn-BA"/>
        </w:rPr>
      </w:pPr>
      <w:bookmarkStart w:id="0" w:name="_GoBack"/>
      <w:bookmarkEnd w:id="0"/>
    </w:p>
    <w:p w:rsidR="00005697" w:rsidRDefault="00005697" w:rsidP="00005697">
      <w:pPr>
        <w:spacing w:after="0" w:line="240" w:lineRule="auto"/>
        <w:jc w:val="both"/>
        <w:rPr>
          <w:rFonts w:ascii="Times New Roman" w:hAnsi="Times New Roman"/>
          <w:lang w:val="bs-Cyrl-BA"/>
        </w:rPr>
      </w:pPr>
    </w:p>
    <w:p w:rsidR="00005697" w:rsidRDefault="00005697" w:rsidP="00005697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005697" w:rsidRDefault="00005697" w:rsidP="0000569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005697" w:rsidRDefault="00005697" w:rsidP="00005697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 xml:space="preserve">Службени гласник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/>
          <w:lang w:val="sr-Cyrl-BA"/>
        </w:rPr>
        <w:t>Ново Горажде</w:t>
      </w:r>
      <w:r>
        <w:rPr>
          <w:rFonts w:ascii="Times New Roman" w:hAnsi="Times New Roman"/>
          <w:lang w:val="sr-Cyrl-CS"/>
        </w:rPr>
        <w:t xml:space="preserve"> број: 01/01-013-2-3/06 од 28.02.2006. године</w:t>
      </w:r>
    </w:p>
    <w:p w:rsidR="00005697" w:rsidRDefault="00005697" w:rsidP="00005697">
      <w:pPr>
        <w:rPr>
          <w:lang w:val="sr-Cyrl-BA"/>
        </w:rPr>
      </w:pPr>
    </w:p>
    <w:p w:rsidR="00005697" w:rsidRDefault="00005697" w:rsidP="00005697">
      <w:pPr>
        <w:rPr>
          <w:lang w:val="sr-Cyrl-BA"/>
        </w:rPr>
      </w:pPr>
    </w:p>
    <w:p w:rsidR="00005697" w:rsidRDefault="00005697" w:rsidP="00005697"/>
    <w:p w:rsidR="00005697" w:rsidRDefault="00005697" w:rsidP="00005697"/>
    <w:p w:rsidR="000860B9" w:rsidRDefault="000860B9"/>
    <w:sectPr w:rsidR="000860B9" w:rsidSect="002062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95" w:rsidRDefault="009F1495" w:rsidP="006B2D7F">
      <w:pPr>
        <w:spacing w:after="0" w:line="240" w:lineRule="auto"/>
      </w:pPr>
      <w:r>
        <w:separator/>
      </w:r>
    </w:p>
  </w:endnote>
  <w:endnote w:type="continuationSeparator" w:id="0">
    <w:p w:rsidR="009F1495" w:rsidRDefault="009F1495" w:rsidP="006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95" w:rsidRDefault="009F1495" w:rsidP="006B2D7F">
      <w:pPr>
        <w:spacing w:after="0" w:line="240" w:lineRule="auto"/>
      </w:pPr>
      <w:r>
        <w:separator/>
      </w:r>
    </w:p>
  </w:footnote>
  <w:footnote w:type="continuationSeparator" w:id="0">
    <w:p w:rsidR="009F1495" w:rsidRDefault="009F1495" w:rsidP="006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787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2D7F" w:rsidRDefault="006B2D7F">
        <w:pPr>
          <w:pStyle w:val="Header"/>
          <w:jc w:val="right"/>
        </w:pPr>
        <w:r>
          <w:rPr>
            <w:lang w:val="sr-Cyrl-BA"/>
          </w:rPr>
          <w:t xml:space="preserve">20.11.2023.    СЛУЖБЕНИ ГЛАСНИК ОПШТИНЕ НОВО ГОРАЖДЕ број 14    страна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28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B2D7F" w:rsidRDefault="006B2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749"/>
    <w:multiLevelType w:val="hybridMultilevel"/>
    <w:tmpl w:val="B12C8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8C8"/>
    <w:multiLevelType w:val="hybridMultilevel"/>
    <w:tmpl w:val="82241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E93"/>
    <w:multiLevelType w:val="hybridMultilevel"/>
    <w:tmpl w:val="C9623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C7535"/>
    <w:multiLevelType w:val="hybridMultilevel"/>
    <w:tmpl w:val="521091AE"/>
    <w:lvl w:ilvl="0" w:tplc="BA6C7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AE2CE1"/>
    <w:multiLevelType w:val="hybridMultilevel"/>
    <w:tmpl w:val="C2106CB2"/>
    <w:lvl w:ilvl="0" w:tplc="231C4DE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3554A"/>
    <w:multiLevelType w:val="hybridMultilevel"/>
    <w:tmpl w:val="052A7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08"/>
    <w:rsid w:val="00005697"/>
    <w:rsid w:val="000860B9"/>
    <w:rsid w:val="0020628B"/>
    <w:rsid w:val="002A4708"/>
    <w:rsid w:val="004B6F5A"/>
    <w:rsid w:val="006B2D7F"/>
    <w:rsid w:val="009C4AC1"/>
    <w:rsid w:val="009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69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D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D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69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D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D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2023-12-01T07:31:00Z</dcterms:created>
  <dcterms:modified xsi:type="dcterms:W3CDTF">2024-01-23T13:13:00Z</dcterms:modified>
</cp:coreProperties>
</file>